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73" w:rsidRDefault="002E458B">
      <w:pPr>
        <w:pStyle w:val="Corpotesto"/>
        <w:ind w:left="0"/>
        <w:rPr>
          <w:rFonts w:ascii="Times New Roman"/>
          <w:sz w:val="20"/>
        </w:rPr>
      </w:pPr>
      <w:bookmarkStart w:id="0" w:name="_GoBack"/>
      <w:bookmarkEnd w:id="0"/>
      <w:r>
        <w:pict>
          <v:rect id="_x0000_s1049" style="position:absolute;margin-left:0;margin-top:0;width:595.3pt;height:841.9pt;z-index:-2584;mso-position-horizontal-relative:page;mso-position-vertical-relative:page" fillcolor="#ccc0d9" stroked="f">
            <w10:wrap anchorx="page" anchory="page"/>
          </v:rect>
        </w:pict>
      </w:r>
      <w:r>
        <w:pict>
          <v:group id="_x0000_s1032" style="position:absolute;margin-left:24pt;margin-top:24pt;width:547.45pt;height:794.05pt;z-index:-2536;mso-position-horizontal-relative:page;mso-position-vertical-relative:page" coordorigin="480,480" coordsize="10949,158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480;top:480;width:118;height:118">
              <v:imagedata r:id="rId5" o:title=""/>
            </v:shape>
            <v:rect id="_x0000_s1047" style="position:absolute;left:597;top:480;width:10714;height:29" fillcolor="#886fa9" stroked="f"/>
            <v:rect id="_x0000_s1046" style="position:absolute;left:597;top:508;width:10714;height:60" fillcolor="#413152" stroked="f"/>
            <v:rect id="_x0000_s1045" style="position:absolute;left:597;top:568;width:10714;height:29" fillcolor="#362945" stroked="f"/>
            <v:shape id="_x0000_s1044" type="#_x0000_t75" style="position:absolute;left:11310;top:480;width:119;height:118">
              <v:imagedata r:id="rId6" o:title=""/>
            </v:shape>
            <v:rect id="_x0000_s1043" style="position:absolute;left:480;top:597;width:29;height:15646" fillcolor="#886fa9" stroked="f"/>
            <v:rect id="_x0000_s1042" style="position:absolute;left:508;top:597;width:60;height:15646" fillcolor="#413152" stroked="f"/>
            <v:rect id="_x0000_s1041" style="position:absolute;left:568;top:597;width:29;height:15646" fillcolor="#362945" stroked="f"/>
            <v:rect id="_x0000_s1040" style="position:absolute;left:11399;top:597;width:30;height:15646" fillcolor="#886fa9" stroked="f"/>
            <v:rect id="_x0000_s1039" style="position:absolute;left:11339;top:597;width:60;height:15646" fillcolor="#413152" stroked="f"/>
            <v:rect id="_x0000_s1038" style="position:absolute;left:11310;top:597;width:29;height:15646" fillcolor="#362945" stroked="f"/>
            <v:shape id="_x0000_s1037" type="#_x0000_t75" style="position:absolute;left:480;top:16243;width:118;height:118">
              <v:imagedata r:id="rId7" o:title=""/>
            </v:shape>
            <v:rect id="_x0000_s1036" style="position:absolute;left:597;top:16332;width:10714;height:29" fillcolor="#886fa9" stroked="f"/>
            <v:rect id="_x0000_s1035" style="position:absolute;left:597;top:16272;width:10714;height:60" fillcolor="#413152" stroked="f"/>
            <v:rect id="_x0000_s1034" style="position:absolute;left:597;top:16243;width:10714;height:29" fillcolor="#362945" stroked="f"/>
            <v:shape id="_x0000_s1033" type="#_x0000_t75" style="position:absolute;left:11310;top:16243;width:119;height:118">
              <v:imagedata r:id="rId8" o:title=""/>
            </v:shape>
            <w10:wrap anchorx="page" anchory="page"/>
          </v:group>
        </w:pict>
      </w:r>
    </w:p>
    <w:p w:rsidR="00887973" w:rsidRDefault="00887973">
      <w:pPr>
        <w:pStyle w:val="Corpotesto"/>
        <w:ind w:left="0"/>
        <w:rPr>
          <w:rFonts w:ascii="Times New Roman"/>
          <w:sz w:val="20"/>
        </w:rPr>
      </w:pPr>
    </w:p>
    <w:p w:rsidR="00887973" w:rsidRDefault="00887973">
      <w:pPr>
        <w:pStyle w:val="Corpotesto"/>
        <w:ind w:left="0"/>
        <w:rPr>
          <w:rFonts w:ascii="Times New Roman"/>
          <w:sz w:val="20"/>
        </w:rPr>
      </w:pPr>
    </w:p>
    <w:p w:rsidR="00887973" w:rsidRDefault="00887973">
      <w:pPr>
        <w:pStyle w:val="Corpotesto"/>
        <w:spacing w:before="8"/>
        <w:ind w:left="0"/>
        <w:rPr>
          <w:rFonts w:ascii="Times New Roman"/>
          <w:sz w:val="21"/>
        </w:rPr>
      </w:pPr>
    </w:p>
    <w:p w:rsidR="00887973" w:rsidRDefault="002E458B">
      <w:pPr>
        <w:pStyle w:val="Corpotesto"/>
        <w:spacing w:before="68" w:line="360" w:lineRule="auto"/>
        <w:ind w:right="131"/>
        <w:jc w:val="both"/>
      </w:pPr>
      <w:r>
        <w:pict>
          <v:group id="_x0000_s1026" style="position:absolute;left:0;text-align:left;margin-left:55.2pt;margin-top:-47.35pt;width:484.9pt;height:557.4pt;z-index:-2560;mso-position-horizontal-relative:page" coordorigin="1104,-947" coordsize="9698,11148">
            <v:rect id="_x0000_s1031" style="position:absolute;left:1104;top:-823;width:9698;height:891" fillcolor="#ccc0d9" stroked="f"/>
            <v:shape id="_x0000_s1030" type="#_x0000_t75" style="position:absolute;left:5044;top:-453;width:1976;height:298">
              <v:imagedata r:id="rId9" o:title=""/>
            </v:shape>
            <v:shape id="_x0000_s1029" type="#_x0000_t75" style="position:absolute;left:5044;top:-948;width:1976;height:896">
              <v:imagedata r:id="rId10" o:title=""/>
            </v:shape>
            <v:shape id="_x0000_s1028" type="#_x0000_t75" style="position:absolute;left:5368;top:-670;width:1189;height:233">
              <v:imagedata r:id="rId11" o:title=""/>
            </v:shape>
            <v:shape id="_x0000_s1027" style="position:absolute;left:1104;top:68;width:9698;height:10132" coordorigin="1104,68" coordsize="9698,10132" o:spt="100" adj="0,,0" path="m10802,8693r-9698,l1104,9104r,410l1104,9927r,273l10802,10200r,-273l10802,9514r,-410l10802,8693t,-821l1104,7872r,410l1104,8693r9698,l10802,8282r,-410m10802,6641r-9698,l1104,7051r,410l1104,7872r9698,l10802,7461r,-410l10802,6641t,-2466l1104,4175r,411l1104,4996r,413l1104,5409r,411l1104,6230r,411l10802,6641r,-411l10802,5820r,-411l10802,5409r,-413l10802,4586r,-411m10802,2123r-9698,l1104,2534r,410l1104,3355r,410l1104,4175r9698,l10802,3765r,-410l10802,2944r,-410l10802,2123t,-2055l1104,68r,411l1104,889r,413l1104,1712r,411l10802,2123r,-411l10802,1302r,-413l10802,479r,-411e" fillcolor="#ccc0d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t xml:space="preserve">La </w:t>
      </w:r>
      <w:r>
        <w:rPr>
          <w:b/>
        </w:rPr>
        <w:t xml:space="preserve">Val Pesarina </w:t>
      </w:r>
      <w:r>
        <w:t xml:space="preserve">fu abitata sin dal II sec. a.C. prima dai </w:t>
      </w:r>
      <w:r>
        <w:rPr>
          <w:b/>
        </w:rPr>
        <w:t xml:space="preserve">Carni </w:t>
      </w:r>
      <w:r>
        <w:t xml:space="preserve">(tribù celtiche dalle quali è derivato il nome Carnia) e poi conquistata dai </w:t>
      </w:r>
      <w:r>
        <w:rPr>
          <w:b/>
        </w:rPr>
        <w:t xml:space="preserve">Romani </w:t>
      </w:r>
      <w:r>
        <w:t xml:space="preserve">e quindi dai </w:t>
      </w:r>
      <w:r>
        <w:rPr>
          <w:b/>
        </w:rPr>
        <w:t xml:space="preserve">Longobardi </w:t>
      </w:r>
      <w:r>
        <w:t xml:space="preserve">(Ducato longobardo del Friuli). Si giunse poi alla costituzione del </w:t>
      </w:r>
      <w:r>
        <w:rPr>
          <w:b/>
        </w:rPr>
        <w:t xml:space="preserve">Patriarcato di Aquileia </w:t>
      </w:r>
      <w:r>
        <w:t>(1077). Dell'epoca medievale sono rimaste le pievi, luoghi non solo religiosi, ma veri e propri centri di riferimento della vita comunitaria, ubicate quasi tutte in</w:t>
      </w:r>
      <w:r>
        <w:t xml:space="preserve"> posizione strategica. A tale periodo storico appartiene il ripristino della strada che attraversando la valle portava al Comelico. Questa via esisteva probabilmente già in epoca romana ed aveva a </w:t>
      </w:r>
      <w:r>
        <w:rPr>
          <w:b/>
        </w:rPr>
        <w:t xml:space="preserve">Sostasio </w:t>
      </w:r>
      <w:r>
        <w:t>una stazione di posta o una specie di rifugio.</w:t>
      </w:r>
    </w:p>
    <w:p w:rsidR="00887973" w:rsidRDefault="002E458B">
      <w:pPr>
        <w:pStyle w:val="Corpotesto"/>
        <w:spacing w:line="355" w:lineRule="auto"/>
        <w:ind w:right="129"/>
        <w:jc w:val="both"/>
      </w:pPr>
      <w:r>
        <w:t>Con</w:t>
      </w:r>
      <w:r>
        <w:t xml:space="preserve"> l’arrivo di Venezia divenne feudo dei </w:t>
      </w:r>
      <w:r>
        <w:rPr>
          <w:b/>
        </w:rPr>
        <w:t xml:space="preserve">Savorgnan </w:t>
      </w:r>
      <w:r>
        <w:t xml:space="preserve">che ebbero il compito di vigilare il </w:t>
      </w:r>
      <w:r>
        <w:rPr>
          <w:b/>
        </w:rPr>
        <w:t xml:space="preserve">Passo Lavardêt. </w:t>
      </w:r>
      <w:r>
        <w:t>Questo passo diede non poche preoccupazioni ai Veneziani durante la guerra contro la lega di Cambrai, perché scarsamente difendibile. Sotto il Patriarcato</w:t>
      </w:r>
      <w:r>
        <w:t xml:space="preserve"> e sotto Venezia, la Val Pesarina, chiamata anche Canale Pedarzo o di S. Canciano, era divisa in 8 comuni o “</w:t>
      </w:r>
      <w:r>
        <w:rPr>
          <w:i/>
          <w:sz w:val="25"/>
        </w:rPr>
        <w:t>vicinie</w:t>
      </w:r>
      <w:r>
        <w:t>” rette ognuna da un “</w:t>
      </w:r>
      <w:r>
        <w:rPr>
          <w:i/>
          <w:sz w:val="25"/>
        </w:rPr>
        <w:t>meriga</w:t>
      </w:r>
      <w:r>
        <w:t xml:space="preserve">” eletto dai capifamiglia delle singole ville. I </w:t>
      </w:r>
      <w:r>
        <w:rPr>
          <w:i/>
          <w:sz w:val="25"/>
        </w:rPr>
        <w:t xml:space="preserve">meriga </w:t>
      </w:r>
      <w:r>
        <w:t xml:space="preserve">partecipavano all’adunanza dei 4 “quartieri” in cui era </w:t>
      </w:r>
      <w:r>
        <w:t>divisa la Carnia per l’elezione del Capitano Maggiore che governava il “quartiere” e del Capitano Minore che governava il</w:t>
      </w:r>
      <w:r>
        <w:rPr>
          <w:spacing w:val="-6"/>
        </w:rPr>
        <w:t xml:space="preserve"> </w:t>
      </w:r>
      <w:r>
        <w:t>Canale.</w:t>
      </w:r>
    </w:p>
    <w:p w:rsidR="00887973" w:rsidRDefault="002E458B">
      <w:pPr>
        <w:pStyle w:val="Corpotesto"/>
        <w:spacing w:before="6" w:line="360" w:lineRule="auto"/>
        <w:ind w:right="135"/>
        <w:jc w:val="both"/>
      </w:pPr>
      <w:r>
        <w:t>La Val Pesarina, in questo periodo cambiò anche nome. Nel 1421 la Repubblica di Venezia prese possesso del Friuli e della Carn</w:t>
      </w:r>
      <w:r>
        <w:t>ia. Risale al periodo veneziano la costruzione di palazzi nobili dalla tipica struttura veneta. Accanto a questi preziosi palazzi, in Carnia, si sviluppa un'architettura spontanea, strettamente legata alle esigenze popolari e fortemente vincolata dal terri</w:t>
      </w:r>
      <w:r>
        <w:t>torio e dal clima rigido.</w:t>
      </w:r>
    </w:p>
    <w:p w:rsidR="00887973" w:rsidRDefault="002E458B">
      <w:pPr>
        <w:pStyle w:val="Corpotesto"/>
        <w:spacing w:line="274" w:lineRule="exact"/>
      </w:pPr>
      <w:r>
        <w:t>L’invasione francese del 1797 pose fine a tali ordinamenti.</w:t>
      </w:r>
    </w:p>
    <w:p w:rsidR="00887973" w:rsidRDefault="002E458B">
      <w:pPr>
        <w:pStyle w:val="Corpotesto"/>
        <w:spacing w:before="137" w:line="360" w:lineRule="auto"/>
        <w:ind w:right="138"/>
        <w:jc w:val="both"/>
      </w:pPr>
      <w:r>
        <w:t xml:space="preserve">Tra il finire dell’Ottocento e i primi del Novecento, si radicano i fermenti di stampo socialista ed anarchico. A Pieria viene eretta la prima </w:t>
      </w:r>
      <w:r>
        <w:rPr>
          <w:b/>
        </w:rPr>
        <w:t>Casa del Popolo del Friuli</w:t>
      </w:r>
      <w:r>
        <w:t>.</w:t>
      </w:r>
    </w:p>
    <w:p w:rsidR="00887973" w:rsidRDefault="002E458B">
      <w:pPr>
        <w:pStyle w:val="Corpotesto"/>
        <w:spacing w:line="360" w:lineRule="auto"/>
        <w:ind w:right="136"/>
        <w:jc w:val="both"/>
      </w:pPr>
      <w:r>
        <w:t>Tutto il territorio ebbe a soffrire durante la prima e la seconda guerra mondiale per l’occupazione dei Tedeschi e dei Cosacchi.</w:t>
      </w:r>
    </w:p>
    <w:sectPr w:rsidR="00887973">
      <w:type w:val="continuous"/>
      <w:pgSz w:w="11910" w:h="16840"/>
      <w:pgMar w:top="15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7973"/>
    <w:rsid w:val="002E458B"/>
    <w:rsid w:val="0088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Baskerville Old Face" w:eastAsia="Baskerville Old Face" w:hAnsi="Baskerville Old Face" w:cs="Baskerville Old Fac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2018-04-13T08:33:00Z</dcterms:created>
  <dcterms:modified xsi:type="dcterms:W3CDTF">2018-04-13T08:33:00Z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2018-04-13T00:00:00Z</vt:filetime>
  </property>
</Properties>
</file>